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C" w:rsidRPr="001671B6" w:rsidRDefault="001671B6" w:rsidP="001671B6">
      <w:pPr>
        <w:spacing w:before="280" w:after="280"/>
        <w:jc w:val="center"/>
        <w:rPr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Основные положения учётной политики для целей бухгалтерского учёта (выдержки) государственного автономного учреждения здравоохранения  «Многопрофильный консультативно-диагностический центр»</w:t>
      </w:r>
    </w:p>
    <w:p w:rsidR="00CD6ACC" w:rsidRDefault="001671B6">
      <w:pPr>
        <w:spacing w:before="280" w:after="2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пункта 9 Стандарта «Учетная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политика, оценочные значения и ошибки», утвержденного приказом Минфина от 30.12.2017 № 274н, на официальном сайте учреждения размещается информация об учетной политике.</w:t>
      </w:r>
    </w:p>
    <w:p w:rsidR="001671B6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Учетная политика ГАУЗ ТО «МКДЦ» на 2024 год утверждена Приказом учреждения от 29.12.2023 № 279-23-ос. </w:t>
      </w:r>
      <w:bookmarkStart w:id="0" w:name="_GoBack"/>
      <w:bookmarkEnd w:id="0"/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 положением о бухгалтерии, должностными инструкциями.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ветственным за ведение бухгалтерского учета в учреждении является главный бухгалтер.</w:t>
      </w:r>
    </w:p>
    <w:p w:rsidR="00CD6ACC" w:rsidRDefault="0016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 xml:space="preserve">Форма ведения учёта с применением программных продуктов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по заработной плате </w:t>
      </w:r>
      <w:r>
        <w:rPr>
          <w:rFonts w:ascii="Times New Roman" w:hAnsi="Times New Roman"/>
          <w:sz w:val="24"/>
          <w:szCs w:val="24"/>
          <w:lang w:val="ru-RU"/>
        </w:rPr>
        <w:t xml:space="preserve">– «Заработная плата и кадры государственного учреждения» редакция  3.1 , </w:t>
      </w:r>
      <w:r>
        <w:rPr>
          <w:rFonts w:ascii="Times New Roman" w:hAnsi="Times New Roman"/>
          <w:bCs/>
          <w:sz w:val="24"/>
          <w:szCs w:val="24"/>
          <w:lang w:val="ru-RU"/>
        </w:rPr>
        <w:t>по бухгалтерии</w:t>
      </w:r>
      <w:r>
        <w:rPr>
          <w:rFonts w:ascii="Times New Roman" w:hAnsi="Times New Roman"/>
          <w:sz w:val="24"/>
          <w:szCs w:val="24"/>
          <w:lang w:val="ru-RU"/>
        </w:rPr>
        <w:t xml:space="preserve"> —  «</w:t>
      </w:r>
      <w:r>
        <w:rPr>
          <w:rFonts w:ascii="Times New Roman" w:hAnsi="Times New Roman"/>
          <w:sz w:val="24"/>
          <w:szCs w:val="24"/>
          <w:lang w:val="ru-RU"/>
        </w:rPr>
        <w:t>Бухгалтерия государственных учреждений» редакция 2.0 , аптека - «Медицина. Больничная аптека» редакция  2.2  программы  1С «Предприятие».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 С использованием телекоммуникационных каналов связи и электронной подписи бухгалтерия учреждения осуществляет элект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ронный документооборот по следующим направлениям:</w:t>
      </w:r>
    </w:p>
    <w:p w:rsidR="00CD6ACC" w:rsidRDefault="001671B6">
      <w:pPr>
        <w:numPr>
          <w:ilvl w:val="0"/>
          <w:numId w:val="1"/>
        </w:numPr>
        <w:suppressAutoHyphens/>
        <w:spacing w:beforeAutospacing="0" w:afterAutospacing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система электронного документооборота с территориальным органом Федерального казначейства;</w:t>
      </w:r>
    </w:p>
    <w:p w:rsidR="00CD6ACC" w:rsidRDefault="001671B6">
      <w:pPr>
        <w:numPr>
          <w:ilvl w:val="0"/>
          <w:numId w:val="1"/>
        </w:numPr>
        <w:suppressAutoHyphens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бухгалтерской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отчетности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учредителю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D6ACC" w:rsidRDefault="001671B6">
      <w:pPr>
        <w:numPr>
          <w:ilvl w:val="0"/>
          <w:numId w:val="1"/>
        </w:numPr>
        <w:suppressAutoHyphens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>
        <w:rPr>
          <w:rFonts w:ascii="Times New Roman" w:hAnsi="Times New Roman"/>
          <w:sz w:val="24"/>
          <w:szCs w:val="24"/>
          <w:lang w:val="ru-RU"/>
        </w:rPr>
        <w:t xml:space="preserve"> инспекцию </w:t>
      </w:r>
      <w:proofErr w:type="spellStart"/>
      <w:r>
        <w:rPr>
          <w:rFonts w:ascii="Times New Roman" w:hAnsi="Times New Roman"/>
          <w:sz w:val="24"/>
          <w:szCs w:val="24"/>
        </w:rPr>
        <w:t>Федеральной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налоговой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D6ACC" w:rsidRDefault="001671B6">
      <w:pPr>
        <w:numPr>
          <w:ilvl w:val="0"/>
          <w:numId w:val="1"/>
        </w:numPr>
        <w:suppressAutoHyphens/>
        <w:spacing w:beforeAutospacing="0" w:afterAutospacing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передача отчетности в отделение Пенсионного фонда;</w:t>
      </w:r>
    </w:p>
    <w:p w:rsidR="00CD6ACC" w:rsidRDefault="001671B6">
      <w:pPr>
        <w:numPr>
          <w:ilvl w:val="0"/>
          <w:numId w:val="1"/>
        </w:numPr>
        <w:suppressAutoHyphens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передача сведений по прямым выплатам по листкам нетрудоспособности, по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Правительства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РФ № 1762 в </w:t>
      </w:r>
      <w:proofErr w:type="spellStart"/>
      <w:r>
        <w:rPr>
          <w:rFonts w:ascii="Times New Roman" w:hAnsi="Times New Roman"/>
          <w:sz w:val="24"/>
          <w:szCs w:val="24"/>
        </w:rPr>
        <w:t>отделение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страхования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D6ACC" w:rsidRDefault="001671B6">
      <w:pPr>
        <w:numPr>
          <w:ilvl w:val="0"/>
          <w:numId w:val="1"/>
        </w:numPr>
        <w:suppressAutoHyphens/>
        <w:spacing w:beforeAutospacing="0" w:afterAutospacing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передача све</w:t>
      </w:r>
      <w:r>
        <w:rPr>
          <w:rFonts w:ascii="Times New Roman" w:hAnsi="Times New Roman"/>
          <w:sz w:val="24"/>
          <w:szCs w:val="24"/>
          <w:lang w:val="ru-RU"/>
        </w:rPr>
        <w:t>дений и отчетности в ТФ ОМС;</w:t>
      </w:r>
    </w:p>
    <w:p w:rsidR="00CD6ACC" w:rsidRDefault="001671B6">
      <w:pPr>
        <w:numPr>
          <w:ilvl w:val="0"/>
          <w:numId w:val="1"/>
        </w:numPr>
        <w:suppressAutoHyphens/>
        <w:spacing w:beforeAutospacing="0" w:afterAutospacing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передача статистической отчетности в МИАЦ,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Тюменьстат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D6ACC" w:rsidRDefault="001671B6">
      <w:pPr>
        <w:numPr>
          <w:ilvl w:val="0"/>
          <w:numId w:val="1"/>
        </w:numPr>
        <w:suppressAutoHyphens/>
        <w:spacing w:beforeAutospacing="0" w:afterAutospacing="0"/>
        <w:jc w:val="both"/>
        <w:rPr>
          <w:rStyle w:val="fill"/>
          <w:b w:val="0"/>
          <w:i w:val="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размещение информации о деятельности учреждения на официальном сайте </w:t>
      </w:r>
      <w:r>
        <w:rPr>
          <w:rFonts w:ascii="Times New Roman" w:hAnsi="Times New Roman"/>
          <w:sz w:val="24"/>
          <w:szCs w:val="24"/>
        </w:rPr>
        <w:t>bus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D6ACC" w:rsidRDefault="001671B6">
      <w:pPr>
        <w:numPr>
          <w:ilvl w:val="0"/>
          <w:numId w:val="1"/>
        </w:numPr>
        <w:suppressAutoHyphens/>
        <w:spacing w:beforeAutospacing="0" w:afterAutospacing="0"/>
        <w:jc w:val="both"/>
        <w:rPr>
          <w:b/>
          <w:i/>
          <w:lang w:val="ru-RU"/>
        </w:rPr>
      </w:pPr>
      <w:r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электронный документооборот с поставщиками услуг.</w:t>
      </w:r>
    </w:p>
    <w:p w:rsidR="00CD6ACC" w:rsidRPr="001671B6" w:rsidRDefault="001671B6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При оформлении фактов хозяйственной жизни применяются унифицированные </w:t>
      </w:r>
      <w:r>
        <w:rPr>
          <w:rFonts w:ascii="Times New Roman" w:hAnsi="Times New Roman"/>
          <w:sz w:val="24"/>
          <w:szCs w:val="24"/>
          <w:lang w:val="ru-RU"/>
        </w:rPr>
        <w:t xml:space="preserve"> фо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рмы первичных учетных документов в соответствии с приказом Минфина № 52н или </w:t>
      </w:r>
      <w:r>
        <w:rPr>
          <w:rFonts w:ascii="Times New Roman" w:hAnsi="Times New Roman"/>
          <w:sz w:val="24"/>
          <w:szCs w:val="24"/>
          <w:lang w:val="ru-RU"/>
        </w:rPr>
        <w:t>утвержденные правовыми актами уполномоченных органов исполнительной власти (при их отсутствии в Приказе</w:t>
      </w:r>
      <w:r>
        <w:rPr>
          <w:rFonts w:ascii="Times New Roman" w:hAnsi="Times New Roman"/>
          <w:sz w:val="24"/>
          <w:szCs w:val="24"/>
          <w:lang w:val="ru-RU"/>
        </w:rPr>
        <w:t xml:space="preserve"> Минфина России № 52н). При проведении хозяйственных операций, для оформления которых не предусмотрены    типовые формы первичных документов, используются:</w:t>
      </w:r>
    </w:p>
    <w:p w:rsidR="00CD6ACC" w:rsidRPr="001671B6" w:rsidRDefault="0016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– самостоятельно разработанные формы, которые приведены в приложении 2;</w:t>
      </w:r>
    </w:p>
    <w:p w:rsidR="00CD6ACC" w:rsidRDefault="0016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унифицированные формы, доп</w:t>
      </w:r>
      <w:r>
        <w:rPr>
          <w:rFonts w:ascii="Times New Roman" w:hAnsi="Times New Roman"/>
          <w:sz w:val="24"/>
          <w:szCs w:val="24"/>
          <w:lang w:val="ru-RU"/>
        </w:rPr>
        <w:t>олненные необходимыми реквизитами.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 Бухучет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5).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 Инвентаризация активов и обязатель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оводится в соо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тветствии с Порядком проведения инвентаризации, утвержденным в приложении 7, и ежегодными приказами учреждения о проведении инвентаризации объектов бухучета.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Для случаев, которые не установлены в федеральных стандартах и других нормативно-правовых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актах, регулирующих бухучет, метод определения справедливой стоимости выбирает комиссия учреждения по поступлению и выбытию активов (приложение 6).</w:t>
      </w:r>
    </w:p>
    <w:p w:rsidR="00CD6ACC" w:rsidRPr="001671B6" w:rsidRDefault="001671B6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7. Учреждение учитывает в составе основных средств материальные объекты имущества независимо от их стоимости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сроком полезного использования более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месяцев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также штампы, печати, инвентарь.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и ожидаемого использования.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9. Не считается существенной стоимость до 20 000 руб. за один имущественный объект. Необходимость объединения или разъединения и конкретный перечень объединяемых объектов определяет комиссия учреждения по поступлению и выбыт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ию активов.</w:t>
      </w:r>
    </w:p>
    <w:p w:rsidR="00CD6ACC" w:rsidRPr="001671B6" w:rsidRDefault="001671B6">
      <w:pPr>
        <w:pStyle w:val="2"/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10.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 xml:space="preserve">Балансовая стоимость объекта основных средств видов «Здания», «Машины и оборудование», «Транспортные средства» увеличивается на стоимость затрат по замене его отдельных составных частей при условии, что такие составные части в соответствии </w:t>
      </w:r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только в ходе капитального ремонта.</w:t>
      </w:r>
      <w:proofErr w:type="gramEnd"/>
    </w:p>
    <w:p w:rsidR="00CD6ACC" w:rsidRDefault="001671B6">
      <w:pPr>
        <w:spacing w:before="280" w:after="280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Одновременно балансовая стоимость этого объекта уменьшается на сто</w:t>
      </w:r>
      <w:r>
        <w:rPr>
          <w:rFonts w:ascii="Times New Roman" w:hAnsi="Times New Roman" w:cstheme="minorHAnsi"/>
          <w:sz w:val="24"/>
          <w:szCs w:val="24"/>
          <w:lang w:val="ru-RU"/>
        </w:rPr>
        <w:t>имость выбывающих (заменяемых) частей.</w:t>
      </w:r>
    </w:p>
    <w:p w:rsidR="00CD6ACC" w:rsidRDefault="001671B6">
      <w:pPr>
        <w:spacing w:before="280" w:after="280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11.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>
        <w:rPr>
          <w:rFonts w:ascii="Times New Roman" w:hAnsi="Times New Roman" w:cstheme="minorHAnsi"/>
          <w:sz w:val="24"/>
          <w:szCs w:val="24"/>
          <w:lang w:val="ru-RU"/>
        </w:rPr>
        <w:t>разукомплектации</w:t>
      </w:r>
      <w:proofErr w:type="spellEnd"/>
      <w:r>
        <w:rPr>
          <w:rFonts w:ascii="Times New Roman" w:hAnsi="Times New Roman" w:cstheme="minorHAnsi"/>
          <w:sz w:val="24"/>
          <w:szCs w:val="24"/>
          <w:lang w:val="ru-RU"/>
        </w:rPr>
        <w:t>) объекта основного средства определяется комиссией по поступлению</w:t>
      </w:r>
      <w:r>
        <w:rPr>
          <w:rFonts w:ascii="Times New Roman" w:hAnsi="Times New Roman" w:cstheme="minorHAnsi"/>
          <w:sz w:val="24"/>
          <w:szCs w:val="24"/>
          <w:lang w:val="ru-RU"/>
        </w:rPr>
        <w:t xml:space="preserve"> и выбытию активов пропорционально выбранному комиссией показателю (площадь, </w:t>
      </w:r>
      <w:proofErr w:type="spellStart"/>
      <w:r>
        <w:rPr>
          <w:rFonts w:ascii="Times New Roman" w:hAnsi="Times New Roman" w:cstheme="minorHAnsi"/>
          <w:sz w:val="24"/>
          <w:szCs w:val="24"/>
          <w:lang w:val="ru-RU"/>
        </w:rPr>
        <w:t>объем</w:t>
      </w:r>
      <w:proofErr w:type="gramStart"/>
      <w:r>
        <w:rPr>
          <w:rFonts w:ascii="Times New Roman" w:hAnsi="Times New Roman" w:cstheme="minorHAnsi"/>
          <w:sz w:val="24"/>
          <w:szCs w:val="24"/>
          <w:lang w:val="ru-RU"/>
        </w:rPr>
        <w:t>,в</w:t>
      </w:r>
      <w:proofErr w:type="gramEnd"/>
      <w:r>
        <w:rPr>
          <w:rFonts w:ascii="Times New Roman" w:hAnsi="Times New Roman" w:cstheme="minorHAnsi"/>
          <w:sz w:val="24"/>
          <w:szCs w:val="24"/>
          <w:lang w:val="ru-RU"/>
        </w:rPr>
        <w:t>ес</w:t>
      </w:r>
      <w:proofErr w:type="spellEnd"/>
      <w:r>
        <w:rPr>
          <w:rFonts w:ascii="Times New Roman" w:hAnsi="Times New Roman" w:cstheme="minorHAnsi"/>
          <w:sz w:val="24"/>
          <w:szCs w:val="24"/>
          <w:lang w:val="ru-RU"/>
        </w:rPr>
        <w:t xml:space="preserve"> и др.).</w:t>
      </w:r>
    </w:p>
    <w:p w:rsidR="00CD6ACC" w:rsidRDefault="001671B6">
      <w:pPr>
        <w:spacing w:before="280" w:after="280"/>
        <w:rPr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12.  Амортизация по всем основным средствам начисляется линейным методом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Основные средства стоимостью до 10 000 руб. включительно, находящиеся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счете 21 по балансовой стоимости.</w:t>
      </w:r>
    </w:p>
    <w:p w:rsidR="00CD6ACC" w:rsidRDefault="001671B6">
      <w:pPr>
        <w:spacing w:before="280" w:after="280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14.</w:t>
      </w:r>
      <w:r>
        <w:rPr>
          <w:rFonts w:ascii="Times New Roman" w:hAnsi="Times New Roman"/>
          <w:sz w:val="24"/>
          <w:szCs w:val="24"/>
          <w:lang w:val="ru-RU"/>
        </w:rPr>
        <w:t xml:space="preserve">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</w:t>
      </w:r>
      <w:r>
        <w:rPr>
          <w:rFonts w:ascii="Times New Roman" w:hAnsi="Times New Roman"/>
          <w:sz w:val="24"/>
          <w:szCs w:val="24"/>
          <w:lang w:val="ru-RU"/>
        </w:rPr>
        <w:t>обы его остаточная стоимость после переоценки равнялась его переоцененной стоимости.</w:t>
      </w:r>
    </w:p>
    <w:p w:rsidR="00CD6ACC" w:rsidRDefault="001671B6">
      <w:pPr>
        <w:pStyle w:val="2"/>
        <w:spacing w:before="280" w:after="280"/>
        <w:rPr>
          <w:rFonts w:cs="Times New Roman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15. Сроком полезного использования нематериального актива является период, в течение которого предполагается использование актива.</w:t>
      </w:r>
    </w:p>
    <w:p w:rsidR="00CD6ACC" w:rsidRPr="001671B6" w:rsidRDefault="001671B6">
      <w:pPr>
        <w:shd w:val="clear" w:color="auto" w:fill="FFFFFF"/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Амортизация по нематериальным актива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 сроком полезного использования свыше 12 месяцев и стоимостью свыше 100 000 руб. начисляется линейным методом.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17. Единица учета материальных запасов в учреждении – номенклатурная (реестровая) единица. </w:t>
      </w:r>
    </w:p>
    <w:p w:rsidR="00CD6ACC" w:rsidRPr="001671B6" w:rsidRDefault="001671B6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18. Списание материальных запасов производится по ср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едней фактической стоимости.</w:t>
      </w:r>
    </w:p>
    <w:p w:rsidR="00CD6ACC" w:rsidRDefault="001671B6">
      <w:pPr>
        <w:pStyle w:val="2"/>
        <w:spacing w:before="280" w:after="280"/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19. Товары, приобретенные для продажи и переданные в реализацию, учитываются по их розничной цене с обособленным учетом торговой наценки (торговой скидки).</w:t>
      </w:r>
    </w:p>
    <w:p w:rsidR="00CD6ACC" w:rsidRDefault="001671B6">
      <w:pPr>
        <w:spacing w:before="280" w:after="280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20. Признание в учете материалов, полученных при ликвидации нефинансовы</w:t>
      </w:r>
      <w:r>
        <w:rPr>
          <w:rFonts w:ascii="Times New Roman" w:hAnsi="Times New Roman"/>
          <w:sz w:val="24"/>
          <w:szCs w:val="24"/>
          <w:lang w:val="ru-RU"/>
        </w:rPr>
        <w:t>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</w:p>
    <w:p w:rsidR="00CD6ACC" w:rsidRPr="001671B6" w:rsidRDefault="001671B6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21. Себестоимость оказанных услуг ввиду их однородности определяется в целом по всем медицинским</w:t>
      </w:r>
      <w:r>
        <w:rPr>
          <w:rFonts w:ascii="Times New Roman" w:hAnsi="Times New Roman"/>
          <w:sz w:val="24"/>
          <w:szCs w:val="24"/>
          <w:lang w:val="ru-RU"/>
        </w:rPr>
        <w:t xml:space="preserve"> услугам и состоит из прямых и общехозяйственных расходов.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21. Накладные расходы распределяются между себестоимостью разных видов услуг (готовой продукции) по окончании квартала пропорционально прямым затратам на оплату труда в квартале.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22. Денежные средс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CD6ACC" w:rsidRDefault="001671B6">
      <w:pPr>
        <w:numPr>
          <w:ilvl w:val="0"/>
          <w:numId w:val="2"/>
        </w:numPr>
        <w:suppressAutoHyphens/>
        <w:spacing w:beforeAutospacing="0" w:afterAutospac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перечисления на специальный карточный счет (СКС) материально ответственного лица, открытый </w:t>
      </w:r>
      <w:r>
        <w:rPr>
          <w:rFonts w:ascii="Times New Roman" w:hAnsi="Times New Roman"/>
          <w:sz w:val="24"/>
          <w:szCs w:val="24"/>
          <w:lang w:val="ru-RU"/>
        </w:rPr>
        <w:t>в рамках зарплатного проекта;</w:t>
      </w:r>
    </w:p>
    <w:p w:rsidR="00CD6ACC" w:rsidRDefault="001671B6">
      <w:pPr>
        <w:numPr>
          <w:ilvl w:val="0"/>
          <w:numId w:val="2"/>
        </w:numPr>
        <w:suppressAutoHyphens/>
        <w:spacing w:beforeAutospacing="0" w:afterAutospacing="0"/>
        <w:jc w:val="both"/>
        <w:rPr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выдача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учреждения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ACC" w:rsidRDefault="001671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руководителя.</w:t>
      </w:r>
    </w:p>
    <w:p w:rsidR="00CD6ACC" w:rsidRPr="001671B6" w:rsidRDefault="001671B6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23. Учреждение выдает денежные средства под отчет штатным сотрудникам, а также лицам, которые не состоят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штате, на основании отдельного приказа руководителя. Расчеты по выданным суммам проходят в порядке, установленном для штатных сотрудников.</w:t>
      </w:r>
    </w:p>
    <w:p w:rsidR="00CD6ACC" w:rsidRPr="001671B6" w:rsidRDefault="001671B6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24. Поступление денежных средств от виновного лица в погашение ущерба, причиненного финансовым активам, отражается по</w:t>
      </w:r>
      <w:r>
        <w:rPr>
          <w:rFonts w:ascii="Times New Roman" w:hAnsi="Times New Roman" w:cstheme="minorHAnsi"/>
          <w:sz w:val="24"/>
          <w:szCs w:val="24"/>
          <w:lang w:val="ru-RU"/>
        </w:rPr>
        <w:t xml:space="preserve"> тому же коду финансового обеспечения (деятельности), по которому осуществлялся их учет.</w:t>
      </w:r>
    </w:p>
    <w:p w:rsidR="00CD6ACC" w:rsidRDefault="001671B6">
      <w:pPr>
        <w:pStyle w:val="2"/>
        <w:spacing w:before="280" w:after="280"/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lastRenderedPageBreak/>
        <w:t>25. Возмещение виновным лицом ущерба, причиненного нефинансовым активам, отражается:</w:t>
      </w:r>
    </w:p>
    <w:p w:rsidR="00CD6ACC" w:rsidRDefault="001671B6">
      <w:pPr>
        <w:pStyle w:val="a9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 xml:space="preserve">при возмещении денежными средствами - по коду вида деятельности "2" - приносящая </w:t>
      </w:r>
      <w:r>
        <w:rPr>
          <w:rFonts w:ascii="Times New Roman" w:hAnsi="Times New Roman" w:cstheme="minorHAnsi"/>
          <w:sz w:val="24"/>
          <w:szCs w:val="24"/>
          <w:lang w:val="ru-RU"/>
        </w:rPr>
        <w:t>доход деятельность (собственные доходы учреждения);</w:t>
      </w:r>
    </w:p>
    <w:p w:rsidR="00CD6ACC" w:rsidRDefault="001671B6">
      <w:pPr>
        <w:pStyle w:val="a9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при возмещении в натуральной форме - по тому коду вида финансового обеспечения (деятельности), по которому осуществлялся их учет.</w:t>
      </w:r>
    </w:p>
    <w:p w:rsidR="00CD6ACC" w:rsidRDefault="001671B6">
      <w:pPr>
        <w:pStyle w:val="2"/>
        <w:spacing w:before="280" w:after="280"/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26. В учете формируются следующие резервы предстоящих расходов:</w:t>
      </w:r>
    </w:p>
    <w:p w:rsidR="00CD6ACC" w:rsidRDefault="001671B6">
      <w:pPr>
        <w:pStyle w:val="a9"/>
        <w:numPr>
          <w:ilvl w:val="0"/>
          <w:numId w:val="4"/>
        </w:numPr>
        <w:spacing w:before="12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резерв для</w:t>
      </w:r>
      <w:r>
        <w:rPr>
          <w:rFonts w:ascii="Times New Roman" w:hAnsi="Times New Roman" w:cstheme="minorHAnsi"/>
          <w:sz w:val="24"/>
          <w:szCs w:val="24"/>
          <w:lang w:val="ru-RU"/>
        </w:rPr>
        <w:t xml:space="preserve"> оплаты отпусков за фактически отработанное время и компенсаций за неиспользованный отпуск, включая платежи на обязательное социальное страхование;</w:t>
      </w:r>
    </w:p>
    <w:p w:rsidR="00CD6ACC" w:rsidRDefault="001671B6">
      <w:pPr>
        <w:pStyle w:val="a9"/>
        <w:numPr>
          <w:ilvl w:val="0"/>
          <w:numId w:val="4"/>
        </w:numPr>
        <w:spacing w:before="12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резерв по претензионным требованиям – при необходимости. Величина резерва устанавливается в размере претензи</w:t>
      </w:r>
      <w:r>
        <w:rPr>
          <w:rFonts w:ascii="Times New Roman" w:hAnsi="Times New Roman" w:cstheme="minorHAnsi"/>
          <w:sz w:val="24"/>
          <w:szCs w:val="24"/>
          <w:lang w:val="ru-RU"/>
        </w:rPr>
        <w:t>и, предъявленной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>
        <w:rPr>
          <w:rFonts w:ascii="Times New Roman" w:hAnsi="Times New Roman" w:cstheme="minorHAnsi"/>
          <w:sz w:val="24"/>
          <w:szCs w:val="24"/>
          <w:lang w:val="ru-RU"/>
        </w:rPr>
        <w:t>красное</w:t>
      </w:r>
      <w:proofErr w:type="gramEnd"/>
      <w:r>
        <w:rPr>
          <w:rFonts w:ascii="Times New Roman" w:hAnsi="Times New Roman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theme="minorHAnsi"/>
          <w:sz w:val="24"/>
          <w:szCs w:val="24"/>
          <w:lang w:val="ru-RU"/>
        </w:rPr>
        <w:t>сторно</w:t>
      </w:r>
      <w:proofErr w:type="spellEnd"/>
      <w:r>
        <w:rPr>
          <w:rFonts w:ascii="Times New Roman" w:hAnsi="Times New Roman" w:cstheme="minorHAnsi"/>
          <w:sz w:val="24"/>
          <w:szCs w:val="24"/>
          <w:lang w:val="ru-RU"/>
        </w:rPr>
        <w:t>»;</w:t>
      </w:r>
    </w:p>
    <w:p w:rsidR="00CD6ACC" w:rsidRDefault="001671B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резерв по сомнительным долгам – пр</w:t>
      </w:r>
      <w:r>
        <w:rPr>
          <w:rFonts w:ascii="Times New Roman" w:hAnsi="Times New Roman" w:cstheme="minorHAnsi"/>
          <w:sz w:val="24"/>
          <w:szCs w:val="24"/>
          <w:lang w:val="ru-RU"/>
        </w:rPr>
        <w:t>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 Порядок формирования и ис</w:t>
      </w:r>
      <w:r>
        <w:rPr>
          <w:rFonts w:ascii="Times New Roman" w:hAnsi="Times New Roman" w:cstheme="minorHAnsi"/>
          <w:sz w:val="24"/>
          <w:szCs w:val="24"/>
          <w:lang w:val="ru-RU"/>
        </w:rPr>
        <w:t>пользования резервов предстоящих расходов приложение 11.</w:t>
      </w:r>
    </w:p>
    <w:p w:rsidR="00CD6ACC" w:rsidRDefault="001671B6">
      <w:pPr>
        <w:pStyle w:val="2"/>
        <w:spacing w:before="280" w:after="280"/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27. Учет принимаемых обязательств осуществляется на основании:</w:t>
      </w:r>
    </w:p>
    <w:p w:rsidR="00CD6ACC" w:rsidRDefault="001671B6">
      <w:pPr>
        <w:pStyle w:val="a9"/>
        <w:numPr>
          <w:ilvl w:val="0"/>
          <w:numId w:val="5"/>
        </w:numPr>
        <w:spacing w:before="12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извещения о проведении конкурса, аукциона, торгов, запроса котировок;</w:t>
      </w:r>
    </w:p>
    <w:p w:rsidR="00CD6ACC" w:rsidRDefault="001671B6">
      <w:pPr>
        <w:pStyle w:val="a9"/>
        <w:numPr>
          <w:ilvl w:val="0"/>
          <w:numId w:val="5"/>
        </w:numPr>
        <w:spacing w:before="12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контракта на поставку товаров, выполнение работ, оказание услуг;</w:t>
      </w:r>
    </w:p>
    <w:p w:rsidR="00CD6ACC" w:rsidRDefault="001671B6">
      <w:pPr>
        <w:pStyle w:val="a9"/>
        <w:numPr>
          <w:ilvl w:val="0"/>
          <w:numId w:val="5"/>
        </w:numPr>
        <w:spacing w:before="12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theme="minorHAnsi"/>
          <w:sz w:val="24"/>
          <w:szCs w:val="24"/>
          <w:lang w:val="ru-RU"/>
        </w:rPr>
        <w:t>д</w:t>
      </w:r>
      <w:r>
        <w:rPr>
          <w:rFonts w:ascii="Times New Roman" w:hAnsi="Times New Roman" w:cstheme="minorHAnsi"/>
          <w:sz w:val="24"/>
          <w:szCs w:val="24"/>
          <w:lang w:val="ru-RU"/>
        </w:rPr>
        <w:t>оговора на поставку товаров, выполнение работ, оказание услуг;</w:t>
      </w:r>
    </w:p>
    <w:p w:rsidR="00CD6ACC" w:rsidRDefault="001671B6">
      <w:pPr>
        <w:pStyle w:val="a9"/>
        <w:numPr>
          <w:ilvl w:val="0"/>
          <w:numId w:val="5"/>
        </w:numPr>
        <w:rPr>
          <w:rFonts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бухгалтерской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D6ACC" w:rsidRDefault="001671B6">
      <w:pPr>
        <w:pStyle w:val="2"/>
        <w:spacing w:before="280" w:after="280"/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 xml:space="preserve">28. Учет на </w:t>
      </w:r>
      <w:proofErr w:type="spellStart"/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забалансовых</w:t>
      </w:r>
      <w:proofErr w:type="spellEnd"/>
      <w:r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 xml:space="preserve"> счетах ведется в разрезе кодов вида финансового обеспечения (деятельности).</w:t>
      </w:r>
    </w:p>
    <w:p w:rsidR="00CD6ACC" w:rsidRDefault="001671B6">
      <w:pPr>
        <w:spacing w:before="280" w:after="280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29. Списание задолженности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забалансового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учета осуществляется по ит</w:t>
      </w:r>
      <w:r>
        <w:rPr>
          <w:rFonts w:ascii="Times New Roman" w:hAnsi="Times New Roman"/>
          <w:sz w:val="24"/>
          <w:szCs w:val="24"/>
          <w:lang w:val="ru-RU"/>
        </w:rPr>
        <w:t>огам инвентаризации на основании решения инвентаризационной комиссии в следующих случаях:</w:t>
      </w:r>
    </w:p>
    <w:p w:rsidR="00CD6ACC" w:rsidRDefault="001671B6">
      <w:pPr>
        <w:pStyle w:val="a9"/>
        <w:numPr>
          <w:ilvl w:val="0"/>
          <w:numId w:val="6"/>
        </w:numPr>
        <w:spacing w:after="0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завершился срок возможного возобновления процедуры взыскания задолженности согласно законодательству;</w:t>
      </w:r>
    </w:p>
    <w:p w:rsidR="00CD6ACC" w:rsidRDefault="001671B6">
      <w:pPr>
        <w:pStyle w:val="a9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имеются документы, подтверждающие прекращение обязательства в с</w:t>
      </w:r>
      <w:r>
        <w:rPr>
          <w:rFonts w:ascii="Times New Roman" w:hAnsi="Times New Roman"/>
          <w:sz w:val="24"/>
          <w:szCs w:val="24"/>
          <w:lang w:val="ru-RU"/>
        </w:rPr>
        <w:t>вязи со смертью (ликвидацией) контрагента.</w:t>
      </w:r>
    </w:p>
    <w:p w:rsidR="00CD6ACC" w:rsidRDefault="00CD6ACC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</w:p>
    <w:p w:rsidR="00CD6ACC" w:rsidRDefault="001671B6">
      <w:pPr>
        <w:spacing w:before="280" w:after="280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Отдельными приложениями к учетной политике для целей бухгалтерского учета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оформлены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комиссии по поступлению и выбытию активов;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комиссии и график проведения инвентаризации кассы;</w:t>
      </w:r>
    </w:p>
    <w:p w:rsidR="00CD6ACC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График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документооборота;</w:t>
      </w:r>
    </w:p>
    <w:p w:rsidR="00CD6ACC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Рабочий план счетов;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выдачи под отчет денежных средств, составления и представления отчетов подотчетными лицами;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приемки, хранения, выдачи и списания бланков строгой отчетности;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выдачи под отчет денежных документов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составления и представления отчетов подотчетными лицами;</w:t>
      </w:r>
    </w:p>
    <w:p w:rsidR="00CD6ACC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Санкционирование расходов;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и проведения инвентаризации активов и обязательств;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самостоятельно разработанных форм первичных документов;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лиц, имеющих право подписи первичные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организации и осуществления внутреннего контроля;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формирования и использования резерва предстоящих расходов; 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Порядок признания в бухгалтерском учете и раскрытие в бухгалтерско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финансовой) отчетности событий после отчетной даты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6ACC" w:rsidRPr="001671B6" w:rsidRDefault="001671B6">
      <w:pPr>
        <w:numPr>
          <w:ilvl w:val="0"/>
          <w:numId w:val="7"/>
        </w:num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формирования регистров учета на бумажных носителях.</w:t>
      </w:r>
    </w:p>
    <w:sectPr w:rsidR="00CD6ACC" w:rsidRPr="001671B6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F6D"/>
    <w:multiLevelType w:val="multilevel"/>
    <w:tmpl w:val="B94AD37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C27C9B"/>
    <w:multiLevelType w:val="multilevel"/>
    <w:tmpl w:val="2BA4A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71D4D1A"/>
    <w:multiLevelType w:val="multilevel"/>
    <w:tmpl w:val="4AF28A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4826DA"/>
    <w:multiLevelType w:val="multilevel"/>
    <w:tmpl w:val="89D08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D95AA9"/>
    <w:multiLevelType w:val="multilevel"/>
    <w:tmpl w:val="B358AB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7344624"/>
    <w:multiLevelType w:val="multilevel"/>
    <w:tmpl w:val="2F28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C075E27"/>
    <w:multiLevelType w:val="multilevel"/>
    <w:tmpl w:val="722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>
    <w:nsid w:val="7EC52E1A"/>
    <w:multiLevelType w:val="multilevel"/>
    <w:tmpl w:val="9B0CC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6ACC"/>
    <w:rsid w:val="001671B6"/>
    <w:rsid w:val="00C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qFormat/>
    <w:rsid w:val="00A308DA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"/>
    <w:qFormat/>
    <w:rsid w:val="00E61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b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Symbol"/>
      <w:sz w:val="24"/>
      <w:szCs w:val="20"/>
    </w:rPr>
  </w:style>
  <w:style w:type="character" w:customStyle="1" w:styleId="ListLabel105">
    <w:name w:val="ListLabel 105"/>
    <w:qFormat/>
    <w:rPr>
      <w:rFonts w:cs="Courier New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A308DA"/>
    <w:pPr>
      <w:spacing w:before="280" w:after="28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dc:description>Подготовлено экспертами Актион-МЦФЭР</dc:description>
  <cp:lastModifiedBy>Калугина</cp:lastModifiedBy>
  <cp:revision>43</cp:revision>
  <cp:lastPrinted>2022-03-29T16:02:00Z</cp:lastPrinted>
  <dcterms:created xsi:type="dcterms:W3CDTF">2021-11-30T03:04:00Z</dcterms:created>
  <dcterms:modified xsi:type="dcterms:W3CDTF">2024-03-28T11:05:00Z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